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404C4F" w14:textId="77777777" w:rsidR="00492585" w:rsidRDefault="00383AC1">
      <w:pPr>
        <w:jc w:val="center"/>
        <w:rPr>
          <w:b/>
          <w:bCs/>
          <w:i/>
          <w:iCs/>
          <w:sz w:val="28"/>
          <w:szCs w:val="28"/>
        </w:rPr>
      </w:pPr>
      <w:r>
        <w:rPr>
          <w:b/>
          <w:bCs/>
          <w:i/>
          <w:iCs/>
          <w:sz w:val="28"/>
          <w:szCs w:val="28"/>
        </w:rPr>
        <w:t>Stacey Braun Associates, Inc.</w:t>
      </w:r>
    </w:p>
    <w:p w14:paraId="0EBC25CE" w14:textId="77777777" w:rsidR="00492585" w:rsidRDefault="00383AC1">
      <w:pPr>
        <w:jc w:val="center"/>
        <w:rPr>
          <w:b/>
          <w:bCs/>
          <w:i/>
          <w:iCs/>
          <w:sz w:val="28"/>
          <w:szCs w:val="28"/>
        </w:rPr>
      </w:pPr>
      <w:r>
        <w:rPr>
          <w:b/>
          <w:bCs/>
          <w:i/>
          <w:iCs/>
          <w:sz w:val="28"/>
          <w:szCs w:val="28"/>
        </w:rPr>
        <w:t>377 Broadway</w:t>
      </w:r>
    </w:p>
    <w:p w14:paraId="6302FEAA" w14:textId="77777777" w:rsidR="00492585" w:rsidRDefault="00383AC1">
      <w:pPr>
        <w:jc w:val="center"/>
        <w:rPr>
          <w:b/>
          <w:bCs/>
          <w:i/>
          <w:iCs/>
          <w:sz w:val="28"/>
          <w:szCs w:val="28"/>
        </w:rPr>
      </w:pPr>
      <w:r>
        <w:rPr>
          <w:b/>
          <w:bCs/>
          <w:i/>
          <w:iCs/>
          <w:sz w:val="28"/>
          <w:szCs w:val="28"/>
        </w:rPr>
        <w:t>New York, NY 10013</w:t>
      </w:r>
    </w:p>
    <w:p w14:paraId="04F0ADC2" w14:textId="77777777" w:rsidR="00492585" w:rsidRDefault="00492585">
      <w:pPr>
        <w:jc w:val="center"/>
      </w:pPr>
    </w:p>
    <w:p w14:paraId="20469178" w14:textId="77777777" w:rsidR="00492585" w:rsidRDefault="00383AC1">
      <w:pPr>
        <w:pStyle w:val="Heading1"/>
        <w:jc w:val="center"/>
        <w:rPr>
          <w:b/>
          <w:bCs/>
          <w:sz w:val="30"/>
          <w:szCs w:val="30"/>
        </w:rPr>
      </w:pPr>
      <w:r>
        <w:rPr>
          <w:b/>
          <w:bCs/>
          <w:sz w:val="30"/>
          <w:szCs w:val="30"/>
        </w:rPr>
        <w:t>$$ WPTA Welfare Trust Fund $$</w:t>
      </w:r>
    </w:p>
    <w:p w14:paraId="4E475F97" w14:textId="77777777" w:rsidR="00492585" w:rsidRDefault="00383AC1">
      <w:pPr>
        <w:pStyle w:val="Heading1"/>
        <w:jc w:val="center"/>
        <w:rPr>
          <w:b/>
          <w:bCs/>
          <w:color w:val="0C1C09"/>
          <w:sz w:val="32"/>
          <w:szCs w:val="32"/>
          <w:u w:color="0C1C09"/>
        </w:rPr>
      </w:pPr>
      <w:r>
        <w:rPr>
          <w:b/>
          <w:bCs/>
          <w:sz w:val="30"/>
          <w:szCs w:val="30"/>
          <w:u w:val="single"/>
        </w:rPr>
        <w:t>FINANCIAL</w:t>
      </w:r>
      <w:r>
        <w:rPr>
          <w:b/>
          <w:bCs/>
          <w:sz w:val="30"/>
          <w:szCs w:val="30"/>
        </w:rPr>
        <w:t xml:space="preserve"> </w:t>
      </w:r>
      <w:r>
        <w:rPr>
          <w:b/>
          <w:bCs/>
          <w:sz w:val="30"/>
          <w:szCs w:val="30"/>
          <w:u w:val="single"/>
        </w:rPr>
        <w:t>COUNSELING</w:t>
      </w:r>
      <w:r>
        <w:rPr>
          <w:b/>
          <w:bCs/>
          <w:sz w:val="30"/>
          <w:szCs w:val="30"/>
        </w:rPr>
        <w:t xml:space="preserve"> </w:t>
      </w:r>
      <w:r>
        <w:rPr>
          <w:b/>
          <w:bCs/>
          <w:sz w:val="30"/>
          <w:szCs w:val="30"/>
          <w:u w:val="single"/>
        </w:rPr>
        <w:t>PROGRAM</w:t>
      </w:r>
    </w:p>
    <w:p w14:paraId="232B0A22" w14:textId="77777777" w:rsidR="00492585" w:rsidRDefault="00492585">
      <w:pPr>
        <w:rPr>
          <w:sz w:val="20"/>
          <w:szCs w:val="20"/>
        </w:rPr>
      </w:pPr>
    </w:p>
    <w:p w14:paraId="453091DE" w14:textId="77777777" w:rsidR="00492585" w:rsidRDefault="00492585">
      <w:pPr>
        <w:pStyle w:val="BodyText"/>
      </w:pPr>
    </w:p>
    <w:p w14:paraId="7358D17B" w14:textId="77777777" w:rsidR="00492585" w:rsidRDefault="00383AC1">
      <w:pPr>
        <w:pStyle w:val="BodyText"/>
        <w:rPr>
          <w:b/>
          <w:bCs/>
          <w:sz w:val="26"/>
          <w:szCs w:val="26"/>
        </w:rPr>
      </w:pPr>
      <w:r>
        <w:rPr>
          <w:rFonts w:eastAsia="Arial Unicode MS" w:cs="Arial Unicode MS"/>
          <w:b/>
          <w:bCs/>
          <w:sz w:val="26"/>
          <w:szCs w:val="26"/>
        </w:rPr>
        <w:t xml:space="preserve">Services Available to Each Member </w:t>
      </w:r>
      <w:r>
        <w:rPr>
          <w:rFonts w:eastAsia="Arial Unicode MS" w:cs="Arial Unicode MS"/>
          <w:b/>
          <w:bCs/>
          <w:i/>
          <w:iCs/>
          <w:sz w:val="26"/>
          <w:szCs w:val="26"/>
        </w:rPr>
        <w:t>(at no cost):</w:t>
      </w:r>
    </w:p>
    <w:p w14:paraId="316941BD" w14:textId="77777777" w:rsidR="00492585" w:rsidRDefault="00492585">
      <w:pPr>
        <w:rPr>
          <w:sz w:val="20"/>
          <w:szCs w:val="20"/>
        </w:rPr>
      </w:pPr>
    </w:p>
    <w:p w14:paraId="2E0BB26C" w14:textId="77777777" w:rsidR="00492585" w:rsidRDefault="00383AC1">
      <w:pPr>
        <w:numPr>
          <w:ilvl w:val="0"/>
          <w:numId w:val="2"/>
        </w:numPr>
      </w:pPr>
      <w:r>
        <w:rPr>
          <w:b/>
          <w:bCs/>
        </w:rPr>
        <w:t>Free financial consultation each year</w:t>
      </w:r>
      <w:r>
        <w:t xml:space="preserve">: Consultations are held at the Staff Development Center, the local NYSUT office (in Tarrytown) or at Stacey Braun’s office in New York City.  You can receive up to six hours of time, in person or over the phone or in combination.  </w:t>
      </w:r>
      <w:r>
        <w:rPr>
          <w:b/>
          <w:bCs/>
        </w:rPr>
        <w:t xml:space="preserve">For more information or to schedule an appointment call 1-888-949-1925. </w:t>
      </w:r>
      <w:r>
        <w:t xml:space="preserve"> Spouses and/or other family members may attend consultations with you.</w:t>
      </w:r>
    </w:p>
    <w:p w14:paraId="11C8AD02" w14:textId="77777777" w:rsidR="00492585" w:rsidRDefault="00383AC1">
      <w:pPr>
        <w:tabs>
          <w:tab w:val="left" w:pos="360"/>
        </w:tabs>
      </w:pPr>
      <w:r>
        <w:t xml:space="preserve">      </w:t>
      </w:r>
    </w:p>
    <w:p w14:paraId="5AA1DC0C" w14:textId="77777777" w:rsidR="00492585" w:rsidRDefault="00383AC1">
      <w:pPr>
        <w:numPr>
          <w:ilvl w:val="0"/>
          <w:numId w:val="2"/>
        </w:numPr>
      </w:pPr>
      <w:r>
        <w:rPr>
          <w:b/>
          <w:bCs/>
        </w:rPr>
        <w:t>Unlimited access to Stacey Braun’s proprietary website</w:t>
      </w:r>
      <w:r>
        <w:t>: This password protected website is a useful financial tool intended to address many of your financial concerns.  The website contains financial narratives, market data, quotes, charts, portfolio tracking, financial news, financial glossary, financial calculators, links to other useful financial sites and the email helpdesk.  To access the site use “money” as your password and “</w:t>
      </w:r>
      <w:proofErr w:type="spellStart"/>
      <w:r>
        <w:t>whiteplains</w:t>
      </w:r>
      <w:proofErr w:type="spellEnd"/>
      <w:r>
        <w:t xml:space="preserve">” as the User ID.     </w:t>
      </w:r>
    </w:p>
    <w:p w14:paraId="0E83ACA7" w14:textId="77777777" w:rsidR="00492585" w:rsidRDefault="00492585"/>
    <w:p w14:paraId="6C83328B" w14:textId="77777777" w:rsidR="00492585" w:rsidRDefault="00383AC1">
      <w:pPr>
        <w:numPr>
          <w:ilvl w:val="0"/>
          <w:numId w:val="2"/>
        </w:numPr>
      </w:pPr>
      <w:r>
        <w:rPr>
          <w:b/>
          <w:bCs/>
        </w:rPr>
        <w:t>Unlimited use of Stacey Braun’s email helpdesk</w:t>
      </w:r>
      <w:r>
        <w:t xml:space="preserve">:  To provide answers to basic financial questions, you have access to qualified professionals via Stacey Braun’s email helpdesk.  </w:t>
      </w:r>
    </w:p>
    <w:p w14:paraId="00370153" w14:textId="77777777" w:rsidR="00492585" w:rsidRDefault="00492585">
      <w:pPr>
        <w:rPr>
          <w:sz w:val="20"/>
          <w:szCs w:val="20"/>
        </w:rPr>
      </w:pPr>
    </w:p>
    <w:p w14:paraId="593A8652" w14:textId="77777777" w:rsidR="00492585" w:rsidRDefault="00492585">
      <w:pPr>
        <w:rPr>
          <w:sz w:val="20"/>
          <w:szCs w:val="20"/>
        </w:rPr>
      </w:pPr>
    </w:p>
    <w:p w14:paraId="353FE855" w14:textId="77777777" w:rsidR="00492585" w:rsidRDefault="00383AC1">
      <w:pPr>
        <w:rPr>
          <w:sz w:val="20"/>
          <w:szCs w:val="20"/>
        </w:rPr>
      </w:pPr>
      <w:r>
        <w:rPr>
          <w:sz w:val="20"/>
          <w:szCs w:val="20"/>
        </w:rPr>
        <w:t xml:space="preserve">Topics for consultations include, but are not limited to: </w:t>
      </w:r>
    </w:p>
    <w:p w14:paraId="6FC0E65C" w14:textId="77777777" w:rsidR="00492585" w:rsidRDefault="00492585">
      <w:pPr>
        <w:rPr>
          <w:sz w:val="20"/>
          <w:szCs w:val="20"/>
        </w:rPr>
      </w:pPr>
    </w:p>
    <w:p w14:paraId="56523D53" w14:textId="77777777" w:rsidR="00492585" w:rsidRDefault="00383AC1">
      <w:pPr>
        <w:ind w:left="720"/>
        <w:rPr>
          <w:i/>
          <w:iCs/>
          <w:sz w:val="28"/>
          <w:szCs w:val="28"/>
        </w:rPr>
      </w:pPr>
      <w:r>
        <w:rPr>
          <w:i/>
          <w:iCs/>
          <w:sz w:val="28"/>
          <w:szCs w:val="28"/>
        </w:rPr>
        <w:t>Retirement Planning, Refinancing, Mortgages, Debt Management, Budgeting, Divorce, Investments (403b, Pension Advice), Mutual Fund Questions, Asset Allocation, Establishing Risk Tolerance, Taxes, Inheritance Issues, Gifting, Estate Planning, Savings, Cash Flow, General Education, Elder Care, Social Security, Education Funding (</w:t>
      </w:r>
      <w:proofErr w:type="gramStart"/>
      <w:r>
        <w:rPr>
          <w:i/>
          <w:iCs/>
          <w:sz w:val="28"/>
          <w:szCs w:val="28"/>
        </w:rPr>
        <w:t>i.e.</w:t>
      </w:r>
      <w:proofErr w:type="gramEnd"/>
      <w:r>
        <w:rPr>
          <w:i/>
          <w:iCs/>
          <w:sz w:val="28"/>
          <w:szCs w:val="28"/>
        </w:rPr>
        <w:t xml:space="preserve"> 529 plans), Second Opinions &amp; Life, Disability and Long-Term Care Insurance</w:t>
      </w:r>
    </w:p>
    <w:p w14:paraId="2C077431" w14:textId="77777777" w:rsidR="00492585" w:rsidRDefault="00492585">
      <w:pPr>
        <w:ind w:left="720"/>
        <w:rPr>
          <w:i/>
          <w:iCs/>
          <w:sz w:val="28"/>
          <w:szCs w:val="28"/>
        </w:rPr>
      </w:pPr>
    </w:p>
    <w:p w14:paraId="350149E1" w14:textId="77777777" w:rsidR="00492585" w:rsidRDefault="00492585">
      <w:pPr>
        <w:rPr>
          <w:i/>
          <w:iCs/>
          <w:sz w:val="20"/>
          <w:szCs w:val="20"/>
        </w:rPr>
      </w:pPr>
    </w:p>
    <w:p w14:paraId="0D7BFA8F" w14:textId="77777777" w:rsidR="00492585" w:rsidRDefault="00383AC1">
      <w:pPr>
        <w:jc w:val="center"/>
        <w:rPr>
          <w:rFonts w:ascii="Arial" w:eastAsia="Arial" w:hAnsi="Arial" w:cs="Arial"/>
          <w:b/>
          <w:bCs/>
          <w:i/>
          <w:iCs/>
          <w:sz w:val="20"/>
          <w:szCs w:val="20"/>
        </w:rPr>
      </w:pPr>
      <w:r>
        <w:rPr>
          <w:rFonts w:ascii="Arial" w:hAnsi="Arial"/>
          <w:b/>
          <w:bCs/>
          <w:i/>
          <w:iCs/>
          <w:sz w:val="20"/>
          <w:szCs w:val="20"/>
        </w:rPr>
        <w:t>*STACEY BRAUN PERSONNEL</w:t>
      </w:r>
    </w:p>
    <w:p w14:paraId="6847EDCE" w14:textId="77777777" w:rsidR="00492585" w:rsidRDefault="00383AC1">
      <w:pPr>
        <w:jc w:val="center"/>
        <w:rPr>
          <w:rFonts w:ascii="Arial" w:eastAsia="Arial" w:hAnsi="Arial" w:cs="Arial"/>
          <w:b/>
          <w:bCs/>
          <w:i/>
          <w:iCs/>
          <w:sz w:val="20"/>
          <w:szCs w:val="20"/>
        </w:rPr>
      </w:pPr>
      <w:r>
        <w:rPr>
          <w:rFonts w:ascii="Arial" w:hAnsi="Arial"/>
          <w:b/>
          <w:bCs/>
          <w:i/>
          <w:iCs/>
          <w:sz w:val="20"/>
          <w:szCs w:val="20"/>
        </w:rPr>
        <w:t>ARE PROHIBITED FROM SELLING INVESTMENTS OR INSURANCE PRODUCTS*</w:t>
      </w:r>
    </w:p>
    <w:p w14:paraId="2A7AD7F8" w14:textId="77777777" w:rsidR="00492585" w:rsidRDefault="00492585">
      <w:pPr>
        <w:jc w:val="center"/>
        <w:rPr>
          <w:rFonts w:ascii="Arial" w:eastAsia="Arial" w:hAnsi="Arial" w:cs="Arial"/>
          <w:b/>
          <w:bCs/>
          <w:i/>
          <w:iCs/>
          <w:sz w:val="20"/>
          <w:szCs w:val="20"/>
        </w:rPr>
      </w:pPr>
    </w:p>
    <w:p w14:paraId="45BC20A8" w14:textId="77777777" w:rsidR="00492585" w:rsidRDefault="00492585">
      <w:pPr>
        <w:jc w:val="center"/>
        <w:rPr>
          <w:rFonts w:ascii="Arial" w:eastAsia="Arial" w:hAnsi="Arial" w:cs="Arial"/>
          <w:b/>
          <w:bCs/>
          <w:i/>
          <w:iCs/>
          <w:sz w:val="20"/>
          <w:szCs w:val="20"/>
        </w:rPr>
      </w:pPr>
    </w:p>
    <w:p w14:paraId="5D3DA585" w14:textId="77777777" w:rsidR="00492585" w:rsidRDefault="00383AC1">
      <w:pPr>
        <w:jc w:val="center"/>
        <w:rPr>
          <w:rFonts w:ascii="Arial" w:eastAsia="Arial" w:hAnsi="Arial" w:cs="Arial"/>
          <w:b/>
          <w:bCs/>
          <w:i/>
          <w:iCs/>
          <w:sz w:val="20"/>
          <w:szCs w:val="20"/>
        </w:rPr>
      </w:pPr>
      <w:r>
        <w:rPr>
          <w:rFonts w:ascii="Arial" w:hAnsi="Arial"/>
          <w:b/>
          <w:bCs/>
          <w:i/>
          <w:iCs/>
          <w:sz w:val="20"/>
          <w:szCs w:val="20"/>
        </w:rPr>
        <w:t>STACEY BRAUN IS NOT AFFILIATED WITH ANY 403(b) PROVIDERS</w:t>
      </w:r>
    </w:p>
    <w:p w14:paraId="2103CD03" w14:textId="77777777" w:rsidR="00492585" w:rsidRDefault="00492585">
      <w:pPr>
        <w:jc w:val="center"/>
        <w:rPr>
          <w:rFonts w:ascii="Arial" w:eastAsia="Arial" w:hAnsi="Arial" w:cs="Arial"/>
          <w:b/>
          <w:bCs/>
          <w:i/>
          <w:iCs/>
          <w:sz w:val="20"/>
          <w:szCs w:val="20"/>
        </w:rPr>
      </w:pPr>
    </w:p>
    <w:p w14:paraId="29DCC2EF" w14:textId="77777777" w:rsidR="00492585" w:rsidRDefault="00492585">
      <w:pPr>
        <w:jc w:val="center"/>
        <w:rPr>
          <w:rFonts w:ascii="Arial" w:eastAsia="Arial" w:hAnsi="Arial" w:cs="Arial"/>
          <w:b/>
          <w:bCs/>
          <w:sz w:val="22"/>
          <w:szCs w:val="22"/>
        </w:rPr>
      </w:pPr>
    </w:p>
    <w:sectPr w:rsidR="00492585">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2730" w14:textId="77777777" w:rsidR="00363857" w:rsidRDefault="00383AC1">
      <w:r>
        <w:separator/>
      </w:r>
    </w:p>
  </w:endnote>
  <w:endnote w:type="continuationSeparator" w:id="0">
    <w:p w14:paraId="1F5B7B36" w14:textId="77777777" w:rsidR="00363857" w:rsidRDefault="0038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Lucida Grande">
    <w:altName w:val="Segoe UI"/>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3390" w14:textId="77777777" w:rsidR="00492585" w:rsidRDefault="00492585">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1EE3" w14:textId="77777777" w:rsidR="00492585" w:rsidRDefault="0049258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013F" w14:textId="77777777" w:rsidR="00363857" w:rsidRDefault="00383AC1">
      <w:r>
        <w:separator/>
      </w:r>
    </w:p>
  </w:footnote>
  <w:footnote w:type="continuationSeparator" w:id="0">
    <w:p w14:paraId="649BB64F" w14:textId="77777777" w:rsidR="00363857" w:rsidRDefault="0038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0B30" w14:textId="77777777" w:rsidR="00492585" w:rsidRDefault="0049258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0930" w14:textId="77777777" w:rsidR="00492585" w:rsidRDefault="0049258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0505"/>
    <w:multiLevelType w:val="multilevel"/>
    <w:tmpl w:val="AF24674C"/>
    <w:styleLink w:val="ImportedStyle1"/>
    <w:lvl w:ilvl="0">
      <w:start w:val="1"/>
      <w:numFmt w:val="decimal"/>
      <w:lvlText w:val="%1."/>
      <w:lvlJc w:val="left"/>
      <w:pPr>
        <w:tabs>
          <w:tab w:val="left" w:pos="360"/>
        </w:tabs>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B335D90"/>
    <w:multiLevelType w:val="multilevel"/>
    <w:tmpl w:val="AF24674C"/>
    <w:numStyleLink w:val="ImportedStyle1"/>
  </w:abstractNum>
  <w:num w:numId="1" w16cid:durableId="1700885609">
    <w:abstractNumId w:val="0"/>
  </w:num>
  <w:num w:numId="2" w16cid:durableId="1429421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85"/>
    <w:rsid w:val="00363857"/>
    <w:rsid w:val="00383AC1"/>
    <w:rsid w:val="00492585"/>
    <w:rsid w:val="0096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0B9C"/>
  <w15:docId w15:val="{BB98C997-636B-4AAC-AE60-36DCFA65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outlineLvl w:val="0"/>
    </w:pPr>
    <w:rPr>
      <w:rFonts w:ascii="Lucida Grande" w:hAnsi="Lucida Grande"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jc w:val="center"/>
    </w:pPr>
    <w:rPr>
      <w:rFonts w:ascii="Verdana" w:eastAsia="Verdana" w:hAnsi="Verdana" w:cs="Verdana"/>
      <w:color w:val="000000"/>
      <w:sz w:val="28"/>
      <w:szCs w:val="28"/>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McGuire</cp:lastModifiedBy>
  <cp:revision>3</cp:revision>
  <dcterms:created xsi:type="dcterms:W3CDTF">2021-06-25T14:50:00Z</dcterms:created>
  <dcterms:modified xsi:type="dcterms:W3CDTF">2022-06-02T17:21:00Z</dcterms:modified>
</cp:coreProperties>
</file>